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6A7C5" w14:textId="77777777" w:rsidR="00B17EC8" w:rsidRDefault="00000000">
      <w:pPr>
        <w:spacing w:after="120"/>
        <w:jc w:val="center"/>
      </w:pPr>
      <w:r>
        <w:rPr>
          <w:b/>
          <w:bCs/>
          <w:sz w:val="36"/>
          <w:szCs w:val="36"/>
        </w:rPr>
        <w:t>La democracia que no encuentra su eje</w:t>
      </w:r>
    </w:p>
    <w:p w14:paraId="35BEFE58" w14:textId="77777777" w:rsidR="00B17EC8" w:rsidRDefault="00000000">
      <w:pPr>
        <w:spacing w:after="360"/>
        <w:jc w:val="center"/>
      </w:pPr>
      <w:r>
        <w:rPr>
          <w:i/>
          <w:iCs/>
          <w:sz w:val="24"/>
          <w:szCs w:val="24"/>
        </w:rPr>
        <w:t>Paulo Hidalgo</w:t>
      </w:r>
    </w:p>
    <w:p w14:paraId="7B303E45" w14:textId="77777777" w:rsidR="00B17EC8" w:rsidRDefault="00000000">
      <w:pPr>
        <w:spacing w:after="200" w:line="360" w:lineRule="auto"/>
        <w:jc w:val="both"/>
      </w:pPr>
      <w:r>
        <w:t xml:space="preserve">Desde 1990, Chile ha cambiado de gobierno ocho veces, y cada transición llegó con la misma promesa en la boca: esta vez será distinto. Nunca lo fue. La centroizquierda prometió redistribución y administró la herencia. La derecha prometió orden y crecimiento, y dejó la desigualdad donde estaba. La nueva izquierda prometió refundación y terminó entregándole el poder a la derecha más conservadora desde Pinochet. </w:t>
      </w:r>
      <w:r>
        <w:rPr>
          <w:b/>
          <w:bCs/>
        </w:rPr>
        <w:t>Un patrón tan exacto deja de parecer mala suerte. Empieza a parecer un mecanismo.</w:t>
      </w:r>
    </w:p>
    <w:p w14:paraId="04D1E823" w14:textId="77777777" w:rsidR="00B17EC8" w:rsidRDefault="00000000">
      <w:pPr>
        <w:spacing w:after="200" w:line="360" w:lineRule="auto"/>
        <w:jc w:val="both"/>
      </w:pPr>
      <w:r>
        <w:rPr>
          <w:i/>
          <w:iCs/>
        </w:rPr>
        <w:t>El Péndulo de Chile</w:t>
      </w:r>
      <w:r>
        <w:t xml:space="preserve"> parte de esa sospecha para formular la pregunta que la clase política ha preferido esquivar durante treinta y seis años: ¿por qué la alternancia democrática no produce acumulación? ¿Por qué cada ciclo deshace lo que el anterior construyó, las reformas se quedan a mitad de camino y los problemas que motivaron el voto de cambio siguen intactos cuando llega el siguiente gobierno a prometer, otra vez, que ahora sí?</w:t>
      </w:r>
    </w:p>
    <w:p w14:paraId="03C33EFD" w14:textId="77777777" w:rsidR="00B17EC8" w:rsidRDefault="00000000">
      <w:pPr>
        <w:spacing w:after="200" w:line="360" w:lineRule="auto"/>
        <w:jc w:val="both"/>
      </w:pPr>
      <w:r>
        <w:t xml:space="preserve">El libro recorre la democracia chilena de Aylwin a Kast, pero no como crónica ni como inventario de mandatos. Busca, en cada ciclo, las razones del agotamiento y el resorte que dispara el giro hacia el polo contrario. La Concertación gobernó veinte años con un gradualismo que redujo la pobreza a la mitad y no tocó la estructura distributiva. Piñera administró sin transformar. Bachelet intentó tres reformas estructurales y las tres quedaron truncas. El segundo Piñera terminó en un estallido que condensaba treinta años de malestar. </w:t>
      </w:r>
      <w:proofErr w:type="spellStart"/>
      <w:r>
        <w:t>Boric</w:t>
      </w:r>
      <w:proofErr w:type="spellEnd"/>
      <w:r>
        <w:t xml:space="preserve"> protagonizó el doble fracaso constituyente más resonante de la historia republicana. Y Kast asume con un mandato de </w:t>
      </w:r>
      <w:r>
        <w:lastRenderedPageBreak/>
        <w:t>orden que probablemente se agotará antes de lo que sus partidarios imaginan.</w:t>
      </w:r>
    </w:p>
    <w:p w14:paraId="74543331" w14:textId="77777777" w:rsidR="00B17EC8" w:rsidRDefault="00000000">
      <w:pPr>
        <w:spacing w:after="200" w:line="360" w:lineRule="auto"/>
        <w:jc w:val="both"/>
      </w:pPr>
      <w:r>
        <w:rPr>
          <w:b/>
          <w:bCs/>
        </w:rPr>
        <w:t>La tesis es de una sencillez incómoda: el péndulo oscila porque su eje no se mueve.</w:t>
      </w:r>
      <w:r>
        <w:t xml:space="preserve"> Y ese eje tiene nombre preciso, un Estado crónicamente desfinanciado. Chile recauda alrededor del veintiún por ciento de su producto en impuestos, trece puntos bajo el promedio de la OCDE. Esa brecha es la raíz de todo lo demás. Es la distancia exacta entre un Estado que puede sostener pensiones dignas, salud y educación de calidad, y uno que no puede sostener ninguna de las tres. Mientras ningún gobierno cierre esa brecha, la frustración seguirá alimentando el giro. Da lo mismo quién gane la elección.</w:t>
      </w:r>
    </w:p>
    <w:p w14:paraId="5D3CE359" w14:textId="77777777" w:rsidR="00B17EC8" w:rsidRDefault="00000000">
      <w:pPr>
        <w:spacing w:after="200" w:line="360" w:lineRule="auto"/>
        <w:jc w:val="both"/>
      </w:pPr>
      <w:r>
        <w:t xml:space="preserve">Pero el eje fijo no opera solo, y aquí el ensayo da su paso más fino. Identifica dos mecanismos que completan la explicación. El primero es </w:t>
      </w:r>
      <w:r>
        <w:rPr>
          <w:b/>
          <w:bCs/>
        </w:rPr>
        <w:t>el carácter autorreferencial de la oscilación: cada giro fabrica las condiciones del siguiente.</w:t>
      </w:r>
      <w:r>
        <w:t xml:space="preserve"> La centroizquierda no redistribuye, se desgasta, y la ciudadanía vota a la derecha esperando eficiencia. La derecha no resuelve la desigualdad, se desgasta, y la ciudadanía vuelve a la centroizquierda esperando justicia. El fracaso de un polo no corrige el sistema; solo empuja la rotación hacia el otro, que fracasará por las mismas razones de fondo. El segundo mecanismo es la aceleración. Los ciclos se acortan porque la paciencia se acaba. Un electorado líquido, desideologizado, que no vota por lealtad sino por enojo, castiga a cada gobierno a una velocidad incompatible con cualquier reforma de largo aliento.</w:t>
      </w:r>
    </w:p>
    <w:p w14:paraId="03EAB39D" w14:textId="77777777" w:rsidR="00B17EC8" w:rsidRDefault="00000000">
      <w:pPr>
        <w:spacing w:after="200" w:line="360" w:lineRule="auto"/>
        <w:jc w:val="both"/>
      </w:pPr>
      <w:r>
        <w:t xml:space="preserve">El ensayo no escribe en el vacío. Dialoga con quienes han pensado la crisis chilena —Moulian y el transformismo, Garretón y los enclaves autoritarios, </w:t>
      </w:r>
      <w:proofErr w:type="spellStart"/>
      <w:r>
        <w:lastRenderedPageBreak/>
        <w:t>Atria</w:t>
      </w:r>
      <w:proofErr w:type="spellEnd"/>
      <w:r>
        <w:t xml:space="preserve"> y la constitución tramposa, Mayol y la tesis del colapso, Peña y la paradoja del bienestar, entre otros— y reconoce en cada uno una pieza verdadera del diagnóstico. Pero propone algo que ninguno intentó: articular esas lecturas parciales en un marco capaz de explicar el movimiento completo. No la continuidad del modelo, ni los bloqueos institucionales, ni la crisis de liderazgo por separado, sino la oscilación entera, su eje, su aceleración y su incapacidad de producir cambio que se acumule.</w:t>
      </w:r>
    </w:p>
    <w:p w14:paraId="5DF93F30" w14:textId="77777777" w:rsidR="00B17EC8" w:rsidRDefault="00000000">
      <w:pPr>
        <w:spacing w:after="200" w:line="360" w:lineRule="auto"/>
        <w:jc w:val="both"/>
      </w:pPr>
      <w:r>
        <w:t xml:space="preserve">El libro no finge neutralidad, y hace bien en no fingirla; ningún ensayo político es neutral. Escribe desde la convicción de que la democracia liberal sigue siendo el único marco que garantiza deliberación y posibilidad de corrección. Pero también desde una certeza más áspera: </w:t>
      </w:r>
      <w:r>
        <w:rPr>
          <w:b/>
          <w:bCs/>
        </w:rPr>
        <w:t>la democracia no se defiende con discursos sobre sus virtudes, sino con resultados que convenzan a la gente de que vale la pena conservarla.</w:t>
      </w:r>
      <w:r>
        <w:t xml:space="preserve"> Hoy, en Chile, esa convicción está en crisis. La crítica es deliberadamente simétrica. La derecha nunca tuvo proyecto redistributivo. La centroizquierda no lo construyó cuando tuvo los votos. La nueva izquierda lo intentó sin las mayorías para sostenerlo. El fracaso es transversal, y nombrarlo así —sin coartadas para ningún sector— es quizás el gesto más honesto del libro.</w:t>
      </w:r>
    </w:p>
    <w:p w14:paraId="391CE11F" w14:textId="2BB62587" w:rsidR="00B17EC8" w:rsidRDefault="00000000" w:rsidP="00161B64">
      <w:pPr>
        <w:spacing w:after="200" w:line="360" w:lineRule="auto"/>
        <w:jc w:val="both"/>
      </w:pPr>
      <w:r>
        <w:t xml:space="preserve">El epílogo no se refugia en el fatalismo. Propone las piezas de un pacto fiscal y social —reforma tributaria, protección social universal, productividad, reconstrucción de la confianza institucional— que Chile necesita y que ningún gobierno ha encarado con la seriedad que el momento exige. No hay aquí promesas de soluciones fáciles, porque no las hay. Hay, en cambio, una pregunta formulada con una precisión que el país lleva demasiado tiempo evitando: ¿qué tipo de Estado necesita Chile para funcionar como una democracia que no solo celebra elecciones, sino que mejora la vida de </w:t>
      </w:r>
      <w:r>
        <w:lastRenderedPageBreak/>
        <w:t xml:space="preserve">la gente? </w:t>
      </w:r>
      <w:r>
        <w:rPr>
          <w:b/>
          <w:bCs/>
        </w:rPr>
        <w:t>El péndulo seguirá su movimiento mientras esa conversación no ocurra.</w:t>
      </w:r>
      <w:r>
        <w:t xml:space="preserve"> Y el próximo gobierno —sea cual sea— ya está condenado a prometer, una vez más, que esta vez será distinto.</w:t>
      </w:r>
    </w:p>
    <w:p w14:paraId="23F524E0" w14:textId="3B15DE4A" w:rsidR="00B17EC8" w:rsidRDefault="00B17EC8">
      <w:pPr>
        <w:spacing w:after="200" w:line="360" w:lineRule="auto"/>
        <w:jc w:val="both"/>
      </w:pPr>
    </w:p>
    <w:sectPr w:rsidR="00B17EC8">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7247CE"/>
    <w:multiLevelType w:val="hybridMultilevel"/>
    <w:tmpl w:val="E4BEE6A6"/>
    <w:lvl w:ilvl="0" w:tplc="0E9E3E1A">
      <w:start w:val="1"/>
      <w:numFmt w:val="bullet"/>
      <w:lvlText w:val="●"/>
      <w:lvlJc w:val="left"/>
      <w:pPr>
        <w:ind w:left="720" w:hanging="360"/>
      </w:pPr>
    </w:lvl>
    <w:lvl w:ilvl="1" w:tplc="C1440506">
      <w:start w:val="1"/>
      <w:numFmt w:val="bullet"/>
      <w:lvlText w:val="○"/>
      <w:lvlJc w:val="left"/>
      <w:pPr>
        <w:ind w:left="1440" w:hanging="360"/>
      </w:pPr>
    </w:lvl>
    <w:lvl w:ilvl="2" w:tplc="16B68AF6">
      <w:start w:val="1"/>
      <w:numFmt w:val="bullet"/>
      <w:lvlText w:val="■"/>
      <w:lvlJc w:val="left"/>
      <w:pPr>
        <w:ind w:left="2160" w:hanging="360"/>
      </w:pPr>
    </w:lvl>
    <w:lvl w:ilvl="3" w:tplc="A17C7EFC">
      <w:start w:val="1"/>
      <w:numFmt w:val="bullet"/>
      <w:lvlText w:val="●"/>
      <w:lvlJc w:val="left"/>
      <w:pPr>
        <w:ind w:left="2880" w:hanging="360"/>
      </w:pPr>
    </w:lvl>
    <w:lvl w:ilvl="4" w:tplc="05587CCA">
      <w:start w:val="1"/>
      <w:numFmt w:val="bullet"/>
      <w:lvlText w:val="○"/>
      <w:lvlJc w:val="left"/>
      <w:pPr>
        <w:ind w:left="3600" w:hanging="360"/>
      </w:pPr>
    </w:lvl>
    <w:lvl w:ilvl="5" w:tplc="E2CAEDD4">
      <w:start w:val="1"/>
      <w:numFmt w:val="bullet"/>
      <w:lvlText w:val="■"/>
      <w:lvlJc w:val="left"/>
      <w:pPr>
        <w:ind w:left="4320" w:hanging="360"/>
      </w:pPr>
    </w:lvl>
    <w:lvl w:ilvl="6" w:tplc="87CE7C6C">
      <w:start w:val="1"/>
      <w:numFmt w:val="bullet"/>
      <w:lvlText w:val="●"/>
      <w:lvlJc w:val="left"/>
      <w:pPr>
        <w:ind w:left="5040" w:hanging="360"/>
      </w:pPr>
    </w:lvl>
    <w:lvl w:ilvl="7" w:tplc="D0C46916">
      <w:start w:val="1"/>
      <w:numFmt w:val="bullet"/>
      <w:lvlText w:val="●"/>
      <w:lvlJc w:val="left"/>
      <w:pPr>
        <w:ind w:left="5760" w:hanging="360"/>
      </w:pPr>
    </w:lvl>
    <w:lvl w:ilvl="8" w:tplc="C818F440">
      <w:start w:val="1"/>
      <w:numFmt w:val="bullet"/>
      <w:lvlText w:val="●"/>
      <w:lvlJc w:val="left"/>
      <w:pPr>
        <w:ind w:left="6480" w:hanging="360"/>
      </w:pPr>
    </w:lvl>
  </w:abstractNum>
  <w:num w:numId="1" w16cid:durableId="46065755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EC8"/>
    <w:rsid w:val="00161B64"/>
    <w:rsid w:val="002303DB"/>
    <w:rsid w:val="00463DE1"/>
    <w:rsid w:val="00635409"/>
    <w:rsid w:val="009379BB"/>
    <w:rsid w:val="00B17EC8"/>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ecimalSymbol w:val=","/>
  <w:listSeparator w:val=";"/>
  <w14:docId w14:val="2034098A"/>
  <w15:docId w15:val="{08EE72A7-E59C-FC42-91A1-D5A8CD7A9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8"/>
        <w:szCs w:val="28"/>
        <w:lang w:val="es-CL"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Fuerte1">
    <w:name w:val="Fuerte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rPr>
      <w:sz w:val="20"/>
      <w:szCs w:val="20"/>
    </w:rPr>
  </w:style>
  <w:style w:type="character" w:customStyle="1" w:styleId="TextonotapieCar">
    <w:name w:val="Texto nota pie Car"/>
    <w:link w:val="Textonotapie"/>
    <w:uiPriority w:val="99"/>
    <w:semiHidden/>
    <w:unhideWhenUsed/>
    <w:rPr>
      <w:sz w:val="20"/>
      <w:szCs w:val="20"/>
    </w:rPr>
  </w:style>
  <w:style w:type="character" w:styleId="Refdenotaalfinal">
    <w:name w:val="endnote reference"/>
    <w:uiPriority w:val="99"/>
    <w:semiHidden/>
    <w:unhideWhenUsed/>
    <w:rPr>
      <w:vertAlign w:val="superscript"/>
    </w:rPr>
  </w:style>
  <w:style w:type="paragraph" w:styleId="Textonotaalfinal">
    <w:name w:val="endnote text"/>
    <w:link w:val="TextonotaalfinalCar"/>
    <w:uiPriority w:val="99"/>
    <w:semiHidden/>
    <w:unhideWhenUsed/>
    <w:rPr>
      <w:sz w:val="20"/>
      <w:szCs w:val="20"/>
    </w:rPr>
  </w:style>
  <w:style w:type="character" w:customStyle="1" w:styleId="TextonotaalfinalCar">
    <w:name w:val="Texto nota al final Car"/>
    <w:link w:val="Textonotaalfinal"/>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870</Words>
  <Characters>4514</Characters>
  <Application>Microsoft Office Word</Application>
  <DocSecurity>0</DocSecurity>
  <Lines>78</Lines>
  <Paragraphs>10</Paragraphs>
  <ScaleCrop>false</ScaleCrop>
  <Company/>
  <LinksUpToDate>false</LinksUpToDate>
  <CharactersWithSpaces>5374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paulo hidalgo aramburu</cp:lastModifiedBy>
  <cp:revision>4</cp:revision>
  <dcterms:created xsi:type="dcterms:W3CDTF">2026-05-17T22:35:00Z</dcterms:created>
  <dcterms:modified xsi:type="dcterms:W3CDTF">2026-05-19T21:39:00Z</dcterms:modified>
</cp:coreProperties>
</file>